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4F" w:rsidRPr="000C41F0" w:rsidRDefault="00E0734F">
      <w:pPr>
        <w:pStyle w:val="Domylnie"/>
        <w:spacing w:before="240" w:after="0" w:line="100" w:lineRule="atLeast"/>
        <w:jc w:val="center"/>
        <w:rPr>
          <w:b/>
          <w:bCs/>
        </w:rPr>
      </w:pPr>
      <w:r w:rsidRPr="000C41F0">
        <w:rPr>
          <w:rFonts w:ascii="Arial" w:hAnsi="Arial" w:cs="Arial"/>
          <w:b/>
          <w:bCs/>
          <w:sz w:val="20"/>
          <w:szCs w:val="20"/>
        </w:rPr>
        <w:t>UCHWAŁA Nr  IX/73/11</w:t>
      </w:r>
    </w:p>
    <w:p w:rsidR="00E0734F" w:rsidRPr="000C41F0" w:rsidRDefault="00E0734F">
      <w:pPr>
        <w:pStyle w:val="Domylnie"/>
        <w:spacing w:after="0" w:line="100" w:lineRule="atLeast"/>
        <w:jc w:val="center"/>
        <w:rPr>
          <w:b/>
          <w:bCs/>
        </w:rPr>
      </w:pPr>
      <w:r w:rsidRPr="000C41F0">
        <w:rPr>
          <w:rFonts w:ascii="Arial" w:hAnsi="Arial" w:cs="Arial"/>
          <w:b/>
          <w:bCs/>
          <w:sz w:val="20"/>
          <w:szCs w:val="20"/>
        </w:rPr>
        <w:t>RADY MIEJSKIEJ W LIDZBARKU</w:t>
      </w:r>
    </w:p>
    <w:p w:rsidR="00E0734F" w:rsidRPr="000C41F0" w:rsidRDefault="00E0734F">
      <w:pPr>
        <w:pStyle w:val="Domylnie"/>
        <w:spacing w:before="240" w:after="0" w:line="100" w:lineRule="atLeast"/>
        <w:jc w:val="center"/>
        <w:rPr>
          <w:b/>
          <w:bCs/>
        </w:rPr>
      </w:pPr>
      <w:r w:rsidRPr="000C41F0">
        <w:rPr>
          <w:rFonts w:ascii="Arial" w:hAnsi="Arial" w:cs="Arial"/>
          <w:b/>
          <w:bCs/>
          <w:sz w:val="20"/>
          <w:szCs w:val="20"/>
        </w:rPr>
        <w:t>z dnia  29 sierpnia  2011 r.</w:t>
      </w:r>
    </w:p>
    <w:p w:rsidR="00E0734F" w:rsidRPr="000C41F0" w:rsidRDefault="00E0734F">
      <w:pPr>
        <w:pStyle w:val="Domylnie"/>
        <w:spacing w:before="240" w:after="0" w:line="100" w:lineRule="atLeast"/>
        <w:jc w:val="center"/>
        <w:rPr>
          <w:b/>
          <w:bCs/>
        </w:rPr>
      </w:pPr>
      <w:r w:rsidRPr="000C41F0">
        <w:rPr>
          <w:rFonts w:ascii="Arial" w:hAnsi="Arial" w:cs="Arial"/>
          <w:b/>
          <w:bCs/>
          <w:sz w:val="20"/>
          <w:szCs w:val="20"/>
        </w:rPr>
        <w:t>w sprawie zasad udzielania dotacji na dofinansowanie usuwania wyrobów zawierających azbest  z terenu Miasta i Gminy Lidzbark</w:t>
      </w:r>
    </w:p>
    <w:p w:rsidR="00E0734F" w:rsidRDefault="00E0734F">
      <w:pPr>
        <w:pStyle w:val="Domylnie"/>
        <w:spacing w:after="240" w:line="100" w:lineRule="atLeast"/>
        <w:ind w:firstLine="431"/>
        <w:jc w:val="both"/>
      </w:pPr>
    </w:p>
    <w:p w:rsidR="00E0734F" w:rsidRDefault="00E0734F">
      <w:pPr>
        <w:pStyle w:val="Domylnie"/>
        <w:spacing w:after="240" w:line="100" w:lineRule="atLeast"/>
        <w:ind w:firstLine="431"/>
        <w:jc w:val="both"/>
      </w:pPr>
      <w:r>
        <w:rPr>
          <w:rFonts w:ascii="Arial" w:hAnsi="Arial" w:cs="Arial"/>
          <w:sz w:val="21"/>
          <w:szCs w:val="21"/>
        </w:rPr>
        <w:t xml:space="preserve">Na podstawie art. 18 ust. 2 pkt. 15 ustawy z dniu 8 marca 1990 r. o samorządzie gminnym (t. j. Dz. U. z 2001 r. Nr 142, poz. 1591, z 2002 r. Nr 23, poz. 220, Nr 62, poz. 558, Nr 113, poz. 984, Nr 153, poz. 1271, Nr 214, poz. 1806, z 2003 r. Nr 80, poz. 717, Nr 162, poz. 1568, z 2004 r. Nr 102, poz. 1055, Nr 116, poz. 1203, Nr 167, poz. 1759, z 2005 r. Nr 172, poz. 1441, Nr 175, poz. 1457, z 2006 r. Nr 17, poz. 128, Nr 181, poz. 1337, z 2007 r. Nr 48, poz. 327, Nr 138, poz. 974, Nr 173, poz. 1218, z 2008 r. Nr 180, poz. 1111, Nr 223, poz. 1458, z 2009 r. Nr 52, poz. 420, Nr 157, poz. 1241, z 2010 r. Nr 28, poz. 142 i146, Nr 40, poz. 230, Nr 106, poz. 675, z 2011 r. Nr 21, poz.113), art. 221 ust. 1 i 4 ustawy z dnia 27 sierpnia 2009 r. o finansach publicznych (t. j. Dz. U. Nr 157, poz. 1240 i 1241, zm. z 2010 r. Nr 28, poz. 146, Nr 96, poz. 620, Nr 123, poz. 835, Nr 152, poz. 1020, Nr 238, poz. 1578, Nr 257, poz. 1726) oraz art. 403 ust. 5 ustawy z dnia 27 kwietnia 2001 r. - Prawo Ochrony Środowiska (t. j. Dz. U. z 2008 Nr 25, poz. 150, zm. Nr 111, poz. 708, Nr 138, poz. 865, Nr 154, poz. 958, Nr 171, poz. 1056, Nr 199, poz. 1227, Nr 223, poz. 1464, Nr 227, poz. 1505, z 2009 r. Nr 19, poz. 100, Nr 20, poz. 106, Nr 79, poz. 666, Nr 130, poz. 1070, Nr 215, poz. 1664, z 2010 r. Nr 21, poz. 104, Nr 28, poz. 145, Nr 40, poz. 227, Nr 76, poz. 489, Nr 119, poz. 804, Nr 152, poz. 1018 i poz. 1019, Nr 182, poz. 1228, Nr 229, poz. 1498, Nr 249, poz. 1657, z 2011 r. Nr 32, poz. 159, Nr 63, poz. 322), uchwala się, co następuje: </w:t>
      </w:r>
    </w:p>
    <w:p w:rsidR="00E0734F" w:rsidRDefault="00E0734F" w:rsidP="000C41F0">
      <w:pPr>
        <w:pStyle w:val="Domylnie"/>
        <w:spacing w:before="240" w:after="0" w:line="100" w:lineRule="atLeast"/>
        <w:jc w:val="both"/>
      </w:pPr>
      <w:r>
        <w:rPr>
          <w:rFonts w:ascii="Arial" w:hAnsi="Arial" w:cs="Arial"/>
          <w:b/>
          <w:bCs/>
          <w:sz w:val="21"/>
          <w:szCs w:val="21"/>
        </w:rPr>
        <w:t xml:space="preserve">  §</w:t>
      </w:r>
      <w:r>
        <w:rPr>
          <w:rFonts w:ascii="Arial" w:hAnsi="Arial" w:cs="Arial"/>
          <w:sz w:val="21"/>
          <w:szCs w:val="21"/>
        </w:rPr>
        <w:t> </w:t>
      </w:r>
      <w:r>
        <w:rPr>
          <w:rFonts w:ascii="Arial" w:hAnsi="Arial" w:cs="Arial"/>
          <w:b/>
          <w:bCs/>
          <w:sz w:val="21"/>
          <w:szCs w:val="21"/>
        </w:rPr>
        <w:t>1.</w:t>
      </w:r>
      <w:r>
        <w:rPr>
          <w:rFonts w:ascii="Arial" w:hAnsi="Arial" w:cs="Arial"/>
          <w:sz w:val="21"/>
          <w:szCs w:val="21"/>
        </w:rPr>
        <w:t> 1. Ustala się zasady udzielania dotacji na pokrycie kosztów związanych z usuwaniem wyrobów zawierających azbest z terenu Miasta i Gminy Lidzbark.</w:t>
      </w:r>
    </w:p>
    <w:p w:rsidR="00E0734F" w:rsidRDefault="00E0734F" w:rsidP="000C41F0">
      <w:pPr>
        <w:pStyle w:val="Domylnie"/>
        <w:spacing w:after="0" w:line="100" w:lineRule="atLeast"/>
        <w:jc w:val="both"/>
      </w:pPr>
      <w:r>
        <w:rPr>
          <w:rFonts w:ascii="Arial" w:hAnsi="Arial" w:cs="Arial"/>
          <w:sz w:val="21"/>
          <w:szCs w:val="21"/>
        </w:rPr>
        <w:t>2. Dotacja może być przyznane na pokrycie kosztów demontażu, transportu i unieszkodliwiania następujących wyrobów zawierających azbest:</w:t>
      </w:r>
    </w:p>
    <w:p w:rsidR="00E0734F" w:rsidRDefault="00E0734F">
      <w:pPr>
        <w:pStyle w:val="Domylnie"/>
        <w:tabs>
          <w:tab w:val="left" w:pos="1360"/>
        </w:tabs>
        <w:spacing w:after="0" w:line="100" w:lineRule="atLeast"/>
        <w:ind w:left="680" w:hanging="272"/>
        <w:jc w:val="both"/>
      </w:pPr>
      <w:r>
        <w:rPr>
          <w:rFonts w:ascii="Arial" w:hAnsi="Arial" w:cs="Arial"/>
          <w:sz w:val="21"/>
          <w:szCs w:val="21"/>
        </w:rPr>
        <w:t>a)</w:t>
      </w:r>
      <w:r>
        <w:rPr>
          <w:rFonts w:ascii="Arial" w:hAnsi="Arial" w:cs="Arial"/>
          <w:sz w:val="21"/>
          <w:szCs w:val="21"/>
        </w:rPr>
        <w:tab/>
        <w:t>płyty faliste azbestowo-cementowe stosowane w budownictwie,</w:t>
      </w:r>
    </w:p>
    <w:p w:rsidR="00E0734F" w:rsidRDefault="00E0734F">
      <w:pPr>
        <w:pStyle w:val="Domylnie"/>
        <w:tabs>
          <w:tab w:val="left" w:pos="1360"/>
        </w:tabs>
        <w:spacing w:after="0" w:line="100" w:lineRule="atLeast"/>
        <w:ind w:left="680" w:hanging="272"/>
        <w:jc w:val="both"/>
      </w:pPr>
      <w:r>
        <w:rPr>
          <w:rFonts w:ascii="Arial" w:hAnsi="Arial" w:cs="Arial"/>
          <w:sz w:val="21"/>
          <w:szCs w:val="21"/>
        </w:rPr>
        <w:t>b)</w:t>
      </w:r>
      <w:r>
        <w:rPr>
          <w:rFonts w:ascii="Arial" w:hAnsi="Arial" w:cs="Arial"/>
          <w:sz w:val="21"/>
          <w:szCs w:val="21"/>
        </w:rPr>
        <w:tab/>
        <w:t>płyty płaskie azbestowo-cementowe stosowane w budownictwie.</w:t>
      </w:r>
    </w:p>
    <w:p w:rsidR="00E0734F" w:rsidRDefault="00E0734F" w:rsidP="000C41F0">
      <w:pPr>
        <w:pStyle w:val="Domylnie"/>
        <w:spacing w:after="0" w:line="100" w:lineRule="atLeast"/>
        <w:jc w:val="both"/>
      </w:pPr>
      <w:r>
        <w:rPr>
          <w:rFonts w:ascii="Arial" w:hAnsi="Arial" w:cs="Arial"/>
          <w:sz w:val="21"/>
          <w:szCs w:val="21"/>
        </w:rPr>
        <w:t>3. Dotacja może być udzielona do inwestycji realizowanych przez:</w:t>
      </w:r>
    </w:p>
    <w:p w:rsidR="00E0734F" w:rsidRDefault="00E0734F">
      <w:pPr>
        <w:pStyle w:val="Domylnie"/>
        <w:tabs>
          <w:tab w:val="left" w:pos="1360"/>
        </w:tabs>
        <w:spacing w:after="0" w:line="100" w:lineRule="atLeast"/>
        <w:ind w:left="680" w:hanging="272"/>
        <w:jc w:val="both"/>
      </w:pPr>
      <w:r>
        <w:rPr>
          <w:rFonts w:ascii="Arial" w:hAnsi="Arial" w:cs="Arial"/>
          <w:sz w:val="21"/>
          <w:szCs w:val="21"/>
        </w:rPr>
        <w:t>a)</w:t>
      </w:r>
      <w:r>
        <w:rPr>
          <w:rFonts w:ascii="Arial" w:hAnsi="Arial" w:cs="Arial"/>
          <w:sz w:val="21"/>
          <w:szCs w:val="21"/>
        </w:rPr>
        <w:tab/>
        <w:t>osoby fizyczne,</w:t>
      </w:r>
    </w:p>
    <w:p w:rsidR="00E0734F" w:rsidRDefault="00E0734F">
      <w:pPr>
        <w:pStyle w:val="Domylnie"/>
        <w:tabs>
          <w:tab w:val="left" w:pos="1360"/>
        </w:tabs>
        <w:spacing w:after="0" w:line="100" w:lineRule="atLeast"/>
        <w:ind w:left="680" w:hanging="272"/>
        <w:jc w:val="both"/>
      </w:pPr>
      <w:r>
        <w:rPr>
          <w:rFonts w:ascii="Arial" w:hAnsi="Arial" w:cs="Arial"/>
          <w:sz w:val="21"/>
          <w:szCs w:val="21"/>
        </w:rPr>
        <w:t>b)</w:t>
      </w:r>
      <w:r>
        <w:rPr>
          <w:rFonts w:ascii="Arial" w:hAnsi="Arial" w:cs="Arial"/>
          <w:sz w:val="21"/>
          <w:szCs w:val="21"/>
        </w:rPr>
        <w:tab/>
        <w:t>wspólnoty mieszkaniowe,</w:t>
      </w:r>
    </w:p>
    <w:p w:rsidR="00E0734F" w:rsidRDefault="00E0734F">
      <w:pPr>
        <w:pStyle w:val="Domylnie"/>
        <w:tabs>
          <w:tab w:val="left" w:pos="1360"/>
        </w:tabs>
        <w:spacing w:after="0" w:line="100" w:lineRule="atLeast"/>
        <w:ind w:left="680" w:hanging="272"/>
        <w:jc w:val="both"/>
      </w:pPr>
      <w:r>
        <w:rPr>
          <w:rFonts w:ascii="Arial" w:hAnsi="Arial" w:cs="Arial"/>
          <w:sz w:val="21"/>
          <w:szCs w:val="21"/>
        </w:rPr>
        <w:t>c)</w:t>
      </w:r>
      <w:r>
        <w:rPr>
          <w:rFonts w:ascii="Arial" w:hAnsi="Arial" w:cs="Arial"/>
          <w:sz w:val="21"/>
          <w:szCs w:val="21"/>
        </w:rPr>
        <w:tab/>
        <w:t>osoby prawne,</w:t>
      </w:r>
    </w:p>
    <w:p w:rsidR="00E0734F" w:rsidRDefault="00E0734F">
      <w:pPr>
        <w:pStyle w:val="Domylnie"/>
        <w:tabs>
          <w:tab w:val="left" w:pos="1360"/>
        </w:tabs>
        <w:spacing w:after="0" w:line="100" w:lineRule="atLeast"/>
        <w:ind w:left="680" w:hanging="272"/>
        <w:jc w:val="both"/>
      </w:pPr>
      <w:r>
        <w:rPr>
          <w:rFonts w:ascii="Arial" w:hAnsi="Arial" w:cs="Arial"/>
          <w:sz w:val="21"/>
          <w:szCs w:val="21"/>
        </w:rPr>
        <w:t>d)</w:t>
      </w:r>
      <w:r>
        <w:rPr>
          <w:rFonts w:ascii="Arial" w:hAnsi="Arial" w:cs="Arial"/>
          <w:sz w:val="21"/>
          <w:szCs w:val="21"/>
        </w:rPr>
        <w:tab/>
        <w:t>przedsiębiorców,</w:t>
      </w:r>
    </w:p>
    <w:p w:rsidR="00E0734F" w:rsidRDefault="00E0734F">
      <w:pPr>
        <w:pStyle w:val="Domylnie"/>
        <w:tabs>
          <w:tab w:val="left" w:pos="1360"/>
        </w:tabs>
        <w:spacing w:after="0" w:line="100" w:lineRule="atLeast"/>
        <w:ind w:left="680" w:hanging="272"/>
        <w:jc w:val="both"/>
      </w:pPr>
      <w:r>
        <w:rPr>
          <w:rFonts w:ascii="Arial" w:hAnsi="Arial" w:cs="Arial"/>
          <w:sz w:val="21"/>
          <w:szCs w:val="21"/>
        </w:rPr>
        <w:t>e)</w:t>
      </w:r>
      <w:r>
        <w:rPr>
          <w:rFonts w:ascii="Arial" w:hAnsi="Arial" w:cs="Arial"/>
          <w:sz w:val="21"/>
          <w:szCs w:val="21"/>
        </w:rPr>
        <w:tab/>
        <w:t>jednostki sektora finansów publicznych będące gminnymi lub powiatowymi osobami prawnymi.</w:t>
      </w:r>
    </w:p>
    <w:p w:rsidR="00E0734F" w:rsidRDefault="00E0734F" w:rsidP="000C41F0">
      <w:pPr>
        <w:pStyle w:val="Domylnie"/>
        <w:spacing w:after="0" w:line="100" w:lineRule="atLeast"/>
        <w:jc w:val="both"/>
      </w:pPr>
      <w:r>
        <w:rPr>
          <w:rFonts w:ascii="Arial" w:hAnsi="Arial" w:cs="Arial"/>
          <w:sz w:val="21"/>
          <w:szCs w:val="21"/>
        </w:rPr>
        <w:t>4. Dofinansowanie nie obejmuje wykonania dokumentacji technicznej (np. projekty budowlane), związanej z usuwaniem wyrobów zawierających azbest.</w:t>
      </w:r>
    </w:p>
    <w:p w:rsidR="00E0734F" w:rsidRDefault="00E0734F" w:rsidP="000C41F0">
      <w:pPr>
        <w:pStyle w:val="Domylnie"/>
        <w:spacing w:after="0" w:line="100" w:lineRule="atLeast"/>
        <w:jc w:val="both"/>
      </w:pPr>
      <w:r>
        <w:rPr>
          <w:rFonts w:ascii="Arial" w:hAnsi="Arial" w:cs="Arial"/>
          <w:sz w:val="21"/>
          <w:szCs w:val="21"/>
        </w:rPr>
        <w:t>5. Dofinansowanie nie obejmuje kosztów zakupu i ułożenia nowych pokryć dachowych.</w:t>
      </w:r>
    </w:p>
    <w:p w:rsidR="00E0734F" w:rsidRDefault="00E0734F">
      <w:pPr>
        <w:pStyle w:val="Domylnie"/>
        <w:spacing w:before="240" w:after="0" w:line="100" w:lineRule="atLeast"/>
        <w:ind w:firstLine="431"/>
        <w:jc w:val="both"/>
      </w:pPr>
      <w:r>
        <w:rPr>
          <w:rFonts w:ascii="Arial" w:hAnsi="Arial" w:cs="Arial"/>
          <w:b/>
          <w:bCs/>
          <w:sz w:val="21"/>
          <w:szCs w:val="21"/>
        </w:rPr>
        <w:t>§</w:t>
      </w:r>
      <w:r>
        <w:rPr>
          <w:rFonts w:ascii="Arial" w:hAnsi="Arial" w:cs="Arial"/>
          <w:sz w:val="21"/>
          <w:szCs w:val="21"/>
        </w:rPr>
        <w:t> </w:t>
      </w:r>
      <w:r>
        <w:rPr>
          <w:rFonts w:ascii="Arial" w:hAnsi="Arial" w:cs="Arial"/>
          <w:b/>
          <w:bCs/>
          <w:sz w:val="21"/>
          <w:szCs w:val="21"/>
        </w:rPr>
        <w:t>2.</w:t>
      </w:r>
      <w:r>
        <w:rPr>
          <w:rFonts w:ascii="Arial" w:hAnsi="Arial" w:cs="Arial"/>
          <w:sz w:val="21"/>
          <w:szCs w:val="21"/>
        </w:rPr>
        <w:t> 1. Dotacja może być przyznana na usunięcie wyrobów zawierających azbest z nieruchomości położonych w granicach administracyjnych Miasta i Gminy Lidzbark.</w:t>
      </w:r>
    </w:p>
    <w:p w:rsidR="00E0734F" w:rsidRDefault="00E0734F" w:rsidP="000C41F0">
      <w:pPr>
        <w:pStyle w:val="Domylnie"/>
        <w:spacing w:after="0" w:line="100" w:lineRule="atLeast"/>
        <w:jc w:val="both"/>
      </w:pPr>
      <w:r>
        <w:rPr>
          <w:rFonts w:ascii="Arial" w:hAnsi="Arial" w:cs="Arial"/>
          <w:sz w:val="21"/>
          <w:szCs w:val="21"/>
        </w:rPr>
        <w:t>2. Dotacja może być przyznana podmiotom posiadającym tytuł prawny do ww. nieruchomości</w:t>
      </w:r>
    </w:p>
    <w:p w:rsidR="00E0734F" w:rsidRDefault="00E0734F" w:rsidP="000C41F0">
      <w:pPr>
        <w:pStyle w:val="Domylnie"/>
        <w:spacing w:after="0" w:line="100" w:lineRule="atLeast"/>
        <w:jc w:val="both"/>
      </w:pPr>
      <w:r>
        <w:rPr>
          <w:rFonts w:ascii="Arial" w:hAnsi="Arial" w:cs="Arial"/>
          <w:sz w:val="21"/>
          <w:szCs w:val="21"/>
        </w:rPr>
        <w:t>3. Dotacja może być przyznana na pokrycie kosztów demontażu wraz z transportem i unieszkodliwianiem wyrobów zawierających azbest.</w:t>
      </w:r>
    </w:p>
    <w:p w:rsidR="00E0734F" w:rsidRDefault="00E0734F" w:rsidP="000C41F0">
      <w:pPr>
        <w:pStyle w:val="Domylnie"/>
        <w:spacing w:after="0" w:line="100" w:lineRule="atLeast"/>
        <w:jc w:val="both"/>
      </w:pPr>
      <w:r>
        <w:rPr>
          <w:rFonts w:ascii="Arial" w:hAnsi="Arial" w:cs="Arial"/>
          <w:sz w:val="21"/>
          <w:szCs w:val="21"/>
        </w:rPr>
        <w:t>4. Dotacja może być również udzielona na pokrycie kosztów związanych z transportem i unieszkodliwianiem wyrobów zawierających azbest:</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1) składowanych/zalegających na posesjach zlokalizowanych na terenie Miasta i Gminy Lidzbark przed wejściem w życie przepisów w sprawie sposobu i warunków bezpiecznego użytkowania i usuwania wyrobów zawierających azbest w 2004 r., lub</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 xml:space="preserve">2) </w:t>
      </w:r>
      <w:r>
        <w:rPr>
          <w:rFonts w:ascii="Arial" w:hAnsi="Arial" w:cs="Arial"/>
          <w:sz w:val="21"/>
          <w:szCs w:val="21"/>
        </w:rPr>
        <w:tab/>
        <w:t>pochodzących z pokryć dachowych zniszczonych na skutek zdarzeń losowych (np. huragan, pożar, runięcie budynku).</w:t>
      </w:r>
    </w:p>
    <w:p w:rsidR="00E0734F" w:rsidRDefault="00E0734F">
      <w:pPr>
        <w:pStyle w:val="Domylnie"/>
        <w:tabs>
          <w:tab w:val="clear" w:pos="709"/>
          <w:tab w:val="right" w:pos="692"/>
          <w:tab w:val="left" w:pos="816"/>
        </w:tabs>
        <w:spacing w:after="0" w:line="100" w:lineRule="atLeast"/>
        <w:ind w:left="408" w:hanging="408"/>
        <w:jc w:val="both"/>
      </w:pPr>
    </w:p>
    <w:p w:rsidR="00E0734F" w:rsidRDefault="00E0734F">
      <w:pPr>
        <w:pStyle w:val="Domylnie"/>
        <w:spacing w:after="0" w:line="100" w:lineRule="atLeast"/>
        <w:jc w:val="both"/>
      </w:pPr>
      <w:r>
        <w:rPr>
          <w:rFonts w:ascii="Arial" w:hAnsi="Arial" w:cs="Arial"/>
          <w:b/>
          <w:bCs/>
          <w:sz w:val="21"/>
          <w:szCs w:val="21"/>
        </w:rPr>
        <w:t xml:space="preserve">   § 3.</w:t>
      </w:r>
      <w:r>
        <w:rPr>
          <w:rFonts w:ascii="Arial" w:hAnsi="Arial" w:cs="Arial"/>
          <w:sz w:val="21"/>
          <w:szCs w:val="21"/>
        </w:rPr>
        <w:t xml:space="preserve"> Rada Miejska dokonała wyboru tej inwestycji do dofinansowania celem zachęcenia mieszkańców gminy do podejmowania inwestycji w zakresie usuwania wyrobów zawierających azbest, wyeliminowania azbestu z terenu gminy, polepszenia stanu środowiska na terenie gminy oraz likwidacji zagrożeń dla środowiska oraz dla zdrowia mieszkańców gminy. Kryterium wyboru inwestycji do dofinansowania wynika z Programu usuwania wyrobów zawierających azbest z terenu Miasta i Gminy Lidzbark na lata 2009-2032, który realizuje postanowienia Krajowego ”Programu usuwania azbestu i wyrobów zawierających azbest stosowanych na terytorium Polski”.</w:t>
      </w:r>
    </w:p>
    <w:p w:rsidR="00E0734F" w:rsidRDefault="00E0734F" w:rsidP="000C41F0">
      <w:pPr>
        <w:pStyle w:val="Domylnie"/>
        <w:spacing w:before="240" w:after="0" w:line="100" w:lineRule="atLeast"/>
        <w:jc w:val="both"/>
      </w:pPr>
      <w:r>
        <w:rPr>
          <w:rFonts w:ascii="Arial" w:hAnsi="Arial" w:cs="Arial"/>
          <w:b/>
          <w:bCs/>
          <w:sz w:val="21"/>
          <w:szCs w:val="21"/>
        </w:rPr>
        <w:t xml:space="preserve">  § 4.</w:t>
      </w:r>
      <w:r>
        <w:rPr>
          <w:rFonts w:ascii="Arial" w:hAnsi="Arial" w:cs="Arial"/>
          <w:sz w:val="21"/>
          <w:szCs w:val="21"/>
        </w:rPr>
        <w:t> 1. Dotacja będzie udzielana w formie bezgotówkowej, tj. poprzez dofinansowanie przez Gminę Lidzbark prac polegających na demontażu, transporcie i unieszkodliwianiu wyrobów zawierających azbest, w wysokości nie przekraczającej 5000 zł na każdy podmiot ubiegający się o przyznanie pomocy.</w:t>
      </w:r>
    </w:p>
    <w:p w:rsidR="00E0734F" w:rsidRDefault="00E0734F" w:rsidP="000C41F0">
      <w:pPr>
        <w:pStyle w:val="Domylnie"/>
        <w:spacing w:after="0" w:line="100" w:lineRule="atLeast"/>
        <w:jc w:val="both"/>
      </w:pPr>
      <w:r>
        <w:rPr>
          <w:rFonts w:ascii="Arial" w:hAnsi="Arial" w:cs="Arial"/>
          <w:sz w:val="21"/>
          <w:szCs w:val="21"/>
        </w:rPr>
        <w:t>2. Sfinansowanie prac, o których mowa wyżej, polega na zleceniu przez Gminę Lidzbark wykonania prac związanych z demontażem, transportem i unieszkodliwianiem wyrobów zawierających azbest podmiotom posiadającym stosowne zezwolenia związane z usuwaniem azbestu.</w:t>
      </w:r>
    </w:p>
    <w:p w:rsidR="00E0734F" w:rsidRDefault="00E0734F" w:rsidP="000C41F0">
      <w:pPr>
        <w:pStyle w:val="Domylnie"/>
        <w:spacing w:after="0" w:line="100" w:lineRule="atLeast"/>
        <w:jc w:val="both"/>
      </w:pPr>
      <w:r>
        <w:rPr>
          <w:rFonts w:ascii="Arial" w:hAnsi="Arial" w:cs="Arial"/>
          <w:sz w:val="21"/>
          <w:szCs w:val="21"/>
        </w:rPr>
        <w:t>3. Dotacje mogą być udzielane ze środków własnych budżetu Gminy Lidzbark, pochodzących z wpływów z tytułu opłat i kar środowiskowych przeznaczonych na ochrony środowiska i gospodarki wodnej lub ze środków pozyskanych przez Gminę ze źródeł zewnętrznych.</w:t>
      </w:r>
    </w:p>
    <w:p w:rsidR="00E0734F" w:rsidRDefault="00E0734F" w:rsidP="000C41F0">
      <w:pPr>
        <w:pStyle w:val="Domylnie"/>
        <w:spacing w:after="0" w:line="100" w:lineRule="atLeast"/>
        <w:jc w:val="both"/>
      </w:pPr>
      <w:r>
        <w:rPr>
          <w:rFonts w:ascii="Arial" w:hAnsi="Arial" w:cs="Arial"/>
          <w:sz w:val="21"/>
          <w:szCs w:val="21"/>
        </w:rPr>
        <w:t>4. Wysokość środków przeznaczona na udzielenie dotacji określona będzie każdorazowo w budżecie Gminy Lidzbark na dany rok budżetowy.</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b/>
          <w:bCs/>
          <w:sz w:val="21"/>
          <w:szCs w:val="21"/>
        </w:rPr>
        <w:t xml:space="preserve">    § 5</w:t>
      </w:r>
      <w:r>
        <w:rPr>
          <w:rFonts w:ascii="Arial" w:hAnsi="Arial" w:cs="Arial"/>
          <w:sz w:val="21"/>
          <w:szCs w:val="21"/>
        </w:rPr>
        <w:t>. Jeśli przyznawana dotacja po stronie wnioskodawcy stanowić będzie pomoc publiczną w</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rozumieniu art. 107 ust. 1 Traktatu o Funkcjonowaniu Unii Europejskiej (t.j. Dz. Urz. U.E. seria C, Nr</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115 z dnia 9 maja 2008 r.) - warunkiem rozpatrzenia wniosku o zawarcie umowy o dotacje jest</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dodatkowo:</w:t>
      </w:r>
    </w:p>
    <w:p w:rsidR="00E0734F" w:rsidRDefault="00E0734F">
      <w:pPr>
        <w:pStyle w:val="Domylnie"/>
        <w:tabs>
          <w:tab w:val="left" w:pos="1420"/>
        </w:tabs>
        <w:spacing w:after="0" w:line="100" w:lineRule="atLeast"/>
        <w:ind w:left="710" w:hanging="284"/>
        <w:jc w:val="both"/>
      </w:pPr>
      <w:r>
        <w:rPr>
          <w:rFonts w:ascii="Arial" w:hAnsi="Arial" w:cs="Arial"/>
          <w:sz w:val="21"/>
          <w:szCs w:val="21"/>
        </w:rPr>
        <w:t>1)</w:t>
      </w:r>
      <w:r>
        <w:rPr>
          <w:rFonts w:ascii="Arial" w:hAnsi="Arial" w:cs="Arial"/>
          <w:sz w:val="21"/>
          <w:szCs w:val="21"/>
        </w:rPr>
        <w:tab/>
        <w:t>spełnienie przez wnioskodawcę wymagań określonych w zależności od prowadzonej działalności w:</w:t>
      </w:r>
    </w:p>
    <w:p w:rsidR="00E0734F" w:rsidRDefault="00E0734F">
      <w:pPr>
        <w:pStyle w:val="Domylnie"/>
        <w:tabs>
          <w:tab w:val="left" w:pos="1988"/>
        </w:tabs>
        <w:spacing w:after="0" w:line="100" w:lineRule="atLeast"/>
        <w:ind w:left="994" w:hanging="284"/>
        <w:jc w:val="both"/>
      </w:pPr>
      <w:r>
        <w:rPr>
          <w:rFonts w:ascii="Arial" w:hAnsi="Arial" w:cs="Arial"/>
          <w:sz w:val="21"/>
          <w:szCs w:val="21"/>
        </w:rPr>
        <w:t>a)</w:t>
      </w:r>
      <w:r>
        <w:rPr>
          <w:rFonts w:ascii="Arial" w:hAnsi="Arial" w:cs="Arial"/>
          <w:sz w:val="21"/>
          <w:szCs w:val="21"/>
        </w:rPr>
        <w:tab/>
        <w:t>rozporządzeniu Komisji (WE) Nr 1998/2006 z dnia 15 grudnia 2006 r. w sprawie stosowania art. 87 i art. 88 Traktatu do pomocy de minimis (Dz. Urz. UE. L 2006 r. Nr 379, poz. 5),</w:t>
      </w:r>
    </w:p>
    <w:p w:rsidR="00E0734F" w:rsidRDefault="00E0734F">
      <w:pPr>
        <w:pStyle w:val="Domylnie"/>
        <w:tabs>
          <w:tab w:val="left" w:pos="1988"/>
        </w:tabs>
        <w:spacing w:after="0" w:line="100" w:lineRule="atLeast"/>
        <w:ind w:left="994" w:hanging="284"/>
        <w:jc w:val="both"/>
      </w:pPr>
      <w:r>
        <w:rPr>
          <w:rFonts w:ascii="Arial" w:hAnsi="Arial" w:cs="Arial"/>
          <w:sz w:val="21"/>
          <w:szCs w:val="21"/>
        </w:rPr>
        <w:t>b)</w:t>
      </w:r>
      <w:r>
        <w:rPr>
          <w:rFonts w:ascii="Arial" w:hAnsi="Arial" w:cs="Arial"/>
          <w:sz w:val="21"/>
          <w:szCs w:val="21"/>
        </w:rPr>
        <w:tab/>
        <w:t>rozporządzeniu Komisji (WE) Nr 875/2007 z dnia 24 lipca 2007 r. w sprawie stosowania art. 87 i art. 88 Traktatu (WE) w odniesieniu do pomocy de minimis w sektorze produkcji rolnej (Dz. Urz. UE. Seria L, Nr 337, str. 35 z dnia 21 grudnia 2007 r.).</w:t>
      </w:r>
    </w:p>
    <w:p w:rsidR="00E0734F" w:rsidRDefault="00E0734F">
      <w:pPr>
        <w:pStyle w:val="Domylnie"/>
        <w:tabs>
          <w:tab w:val="left" w:pos="1420"/>
        </w:tabs>
        <w:spacing w:after="0" w:line="100" w:lineRule="atLeast"/>
        <w:ind w:left="710" w:hanging="284"/>
        <w:jc w:val="both"/>
      </w:pPr>
      <w:r>
        <w:rPr>
          <w:rFonts w:ascii="Arial" w:hAnsi="Arial" w:cs="Arial"/>
          <w:sz w:val="21"/>
          <w:szCs w:val="21"/>
        </w:rPr>
        <w:t>2)</w:t>
      </w:r>
      <w:r>
        <w:rPr>
          <w:rFonts w:ascii="Arial" w:hAnsi="Arial" w:cs="Arial"/>
          <w:sz w:val="21"/>
          <w:szCs w:val="21"/>
        </w:rPr>
        <w:tab/>
        <w:t>przedłożenie przez wnioskodawcę dokumentów i informacji określonych w art. 37 ust. 1 ustawy z dnia 30 kwietnia 2004 r. o postępowaniu w sprawach dotyczących pomocy publicznej (t.j. Dz. U. z 2007 r. Nr 59, poz. 404 z póź. zm.) oraz w rozporządzeniu Rady Ministrów z dnia 29 marca 2010 r. w sprawie zakresu informacji przedstawianych przez podmiot ubiegający się o pomoc de minimis (Dz. U. Nr 53, poz. 311).</w:t>
      </w:r>
    </w:p>
    <w:p w:rsidR="00E0734F" w:rsidRDefault="00E0734F" w:rsidP="000C41F0">
      <w:pPr>
        <w:pStyle w:val="Domylnie"/>
        <w:spacing w:before="240" w:after="0" w:line="100" w:lineRule="atLeast"/>
        <w:jc w:val="both"/>
      </w:pPr>
      <w:r>
        <w:rPr>
          <w:rFonts w:ascii="Arial" w:hAnsi="Arial" w:cs="Arial"/>
          <w:b/>
          <w:bCs/>
          <w:sz w:val="21"/>
          <w:szCs w:val="21"/>
        </w:rPr>
        <w:t xml:space="preserve">   § 6. </w:t>
      </w:r>
      <w:r>
        <w:rPr>
          <w:rFonts w:ascii="Arial" w:hAnsi="Arial" w:cs="Arial"/>
          <w:sz w:val="21"/>
          <w:szCs w:val="21"/>
        </w:rPr>
        <w:t>1. Podmioty ubiegające się o przyznanie dotacji na usuwanie wyrobów zawierających azbest powinny złożyć w Urzędzie Miasta i Gminy Lidzbark stosowny wniosek o przyznanie dotacji zawierający:</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1)</w:t>
      </w:r>
      <w:r>
        <w:rPr>
          <w:rFonts w:ascii="Arial" w:hAnsi="Arial" w:cs="Arial"/>
          <w:sz w:val="21"/>
          <w:szCs w:val="21"/>
        </w:rPr>
        <w:tab/>
        <w:t xml:space="preserve"> imię i nazwisko lub nazwę wnioskodawcy, jego adres, telefon kontaktowy,</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2)</w:t>
      </w:r>
      <w:r>
        <w:rPr>
          <w:rFonts w:ascii="Arial" w:hAnsi="Arial" w:cs="Arial"/>
          <w:sz w:val="21"/>
          <w:szCs w:val="21"/>
        </w:rPr>
        <w:tab/>
        <w:t xml:space="preserve"> określenie rodzaju oraz ilości wyrobów zawierających azbest,</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 xml:space="preserve">3) </w:t>
      </w:r>
      <w:r>
        <w:rPr>
          <w:rFonts w:ascii="Arial" w:hAnsi="Arial" w:cs="Arial"/>
          <w:sz w:val="21"/>
          <w:szCs w:val="21"/>
        </w:rPr>
        <w:tab/>
        <w:t>proponowany termin wykonania prac związanych z usunięciem azbestu,</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4)</w:t>
      </w:r>
      <w:r>
        <w:rPr>
          <w:rFonts w:ascii="Arial" w:hAnsi="Arial" w:cs="Arial"/>
          <w:sz w:val="21"/>
          <w:szCs w:val="21"/>
        </w:rPr>
        <w:tab/>
        <w:t xml:space="preserve"> położenie nieruchomości, na której znajdują się wyroby zawierające azbest, z oznaczeniem nr działki ewidencyjnej,</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5)</w:t>
      </w:r>
      <w:r>
        <w:rPr>
          <w:rFonts w:ascii="Arial" w:hAnsi="Arial" w:cs="Arial"/>
          <w:sz w:val="21"/>
          <w:szCs w:val="21"/>
        </w:rPr>
        <w:tab/>
        <w:t xml:space="preserve"> tytuł prawny do nieruchomości, na której znajdują się wyroby zawierające azbest,</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6 )</w:t>
      </w:r>
      <w:r>
        <w:rPr>
          <w:rFonts w:ascii="Arial" w:hAnsi="Arial" w:cs="Arial"/>
          <w:sz w:val="21"/>
          <w:szCs w:val="21"/>
        </w:rPr>
        <w:tab/>
        <w:t xml:space="preserve"> imiona i nazwiska lub nazwy oraz adresy wszystkich współwłaścicieli nieruchomości.</w:t>
      </w:r>
    </w:p>
    <w:p w:rsidR="00E0734F" w:rsidRDefault="00E0734F" w:rsidP="000C41F0">
      <w:pPr>
        <w:pStyle w:val="Domylnie"/>
        <w:spacing w:after="0" w:line="100" w:lineRule="atLeast"/>
        <w:jc w:val="both"/>
      </w:pPr>
      <w:r>
        <w:rPr>
          <w:rFonts w:ascii="Arial" w:hAnsi="Arial" w:cs="Arial"/>
          <w:sz w:val="21"/>
          <w:szCs w:val="21"/>
        </w:rPr>
        <w:t>2. Do wniosku należy załączyć:</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1)</w:t>
      </w:r>
      <w:r>
        <w:rPr>
          <w:rFonts w:ascii="Arial" w:hAnsi="Arial" w:cs="Arial"/>
          <w:sz w:val="21"/>
          <w:szCs w:val="21"/>
        </w:rPr>
        <w:tab/>
        <w:t xml:space="preserve"> dokument potwierdzający posiadanie tytułu prawnego do nieruchomości, na której znajdują się wyroby zawierające azbest,</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 xml:space="preserve">2) </w:t>
      </w:r>
      <w:r>
        <w:rPr>
          <w:rFonts w:ascii="Arial" w:hAnsi="Arial" w:cs="Arial"/>
          <w:sz w:val="21"/>
          <w:szCs w:val="21"/>
        </w:rPr>
        <w:tab/>
        <w:t>w przypadku posiadania innego tytułu prawnego niż własność lub użytkowanie wieczyste, należy dołączyć zgodę właściciela nieruchomości,</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3)</w:t>
      </w:r>
      <w:r>
        <w:rPr>
          <w:rFonts w:ascii="Arial" w:hAnsi="Arial" w:cs="Arial"/>
          <w:sz w:val="21"/>
          <w:szCs w:val="21"/>
        </w:rPr>
        <w:tab/>
        <w:t xml:space="preserve"> w przypadku nieruchomości będących przedmiotem współwłasności należy załączyć zgodę poszczególnych współwłaścicieli na wykonanie prac związanych z usuwaniem azbestu i wyrobów zawierających azbest oraz upoważnienie dla wnioskodawcy do występowania o dotację celową w imieniu wszystkich współwłaścicieli i do podpisania umowy dotacji,</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4)</w:t>
      </w:r>
      <w:r>
        <w:rPr>
          <w:rFonts w:ascii="Arial" w:hAnsi="Arial" w:cs="Arial"/>
          <w:sz w:val="21"/>
          <w:szCs w:val="21"/>
        </w:rPr>
        <w:tab/>
        <w:t xml:space="preserve"> w przypadku spółdzielni bądź wspólnoty mieszkaniowej należy załączyć stosowną uchwałę organów spółdzielni lub wspólnoty,</w:t>
      </w:r>
    </w:p>
    <w:p w:rsidR="00E0734F" w:rsidRDefault="00E0734F">
      <w:pPr>
        <w:pStyle w:val="Domylnie"/>
        <w:tabs>
          <w:tab w:val="clear" w:pos="709"/>
          <w:tab w:val="right" w:pos="692"/>
          <w:tab w:val="left" w:pos="816"/>
        </w:tabs>
        <w:spacing w:after="0" w:line="100" w:lineRule="atLeast"/>
        <w:ind w:left="408" w:hanging="408"/>
        <w:jc w:val="both"/>
      </w:pPr>
      <w:r>
        <w:rPr>
          <w:rFonts w:ascii="Arial" w:hAnsi="Arial" w:cs="Arial"/>
          <w:sz w:val="21"/>
          <w:szCs w:val="21"/>
        </w:rPr>
        <w:tab/>
        <w:t xml:space="preserve">5) </w:t>
      </w:r>
      <w:r>
        <w:rPr>
          <w:rFonts w:ascii="Arial" w:hAnsi="Arial" w:cs="Arial"/>
          <w:sz w:val="21"/>
          <w:szCs w:val="21"/>
        </w:rPr>
        <w:tab/>
        <w:t>jeżeli wnioskodawca nie jest osoba fizyczną, należy załączyć dokument, z którego będzie wynikać prawo do reprezentowania wnioskodawcy,</w:t>
      </w:r>
    </w:p>
    <w:p w:rsidR="00E0734F" w:rsidRDefault="00E0734F" w:rsidP="000C41F0">
      <w:pPr>
        <w:pStyle w:val="Domylnie"/>
        <w:spacing w:after="0" w:line="100" w:lineRule="atLeast"/>
        <w:jc w:val="both"/>
      </w:pPr>
      <w:r>
        <w:rPr>
          <w:rFonts w:ascii="Arial" w:hAnsi="Arial" w:cs="Arial"/>
          <w:sz w:val="21"/>
          <w:szCs w:val="21"/>
        </w:rPr>
        <w:t xml:space="preserve">3. Burmistrz Lidzbarka ogłasza na tablicach ogłoszeń oraz na stronie internetowej Urzędu Miasta i Gminy Lidzbark informacje o warunkach i terminach składania wniosków. </w:t>
      </w:r>
    </w:p>
    <w:p w:rsidR="00E0734F" w:rsidRDefault="00E0734F" w:rsidP="000C41F0">
      <w:pPr>
        <w:pStyle w:val="Domylnie"/>
        <w:spacing w:before="240" w:after="0" w:line="100" w:lineRule="atLeast"/>
        <w:jc w:val="both"/>
      </w:pPr>
      <w:r>
        <w:rPr>
          <w:rFonts w:ascii="Arial" w:hAnsi="Arial" w:cs="Arial"/>
          <w:b/>
          <w:bCs/>
          <w:sz w:val="21"/>
          <w:szCs w:val="21"/>
        </w:rPr>
        <w:t xml:space="preserve">   § 7.</w:t>
      </w:r>
      <w:r>
        <w:rPr>
          <w:rFonts w:ascii="Arial" w:hAnsi="Arial" w:cs="Arial"/>
          <w:sz w:val="21"/>
          <w:szCs w:val="21"/>
        </w:rPr>
        <w:t> 1. Kolejność rozpatrywania wniosków następować będzie według kolejności wpływu kompletnych wniosków, z zastrzeżeniem pkt. 7. Wniosek jest kompletny, jeżeli został właściwie wypełniony i zawiera wszystkie niezbędne załączniki, o których mowa w § 6 pkt 2.</w:t>
      </w:r>
    </w:p>
    <w:p w:rsidR="00E0734F" w:rsidRDefault="00E0734F" w:rsidP="000C41F0">
      <w:pPr>
        <w:pStyle w:val="Domylnie"/>
        <w:spacing w:after="0" w:line="100" w:lineRule="atLeast"/>
        <w:jc w:val="both"/>
      </w:pPr>
      <w:r>
        <w:rPr>
          <w:rFonts w:ascii="Arial" w:hAnsi="Arial" w:cs="Arial"/>
          <w:sz w:val="21"/>
          <w:szCs w:val="21"/>
        </w:rPr>
        <w:t>2. Wnioski dotyczące wyrobów zawierających azbest, o których mowa w § 2 pkt 4 lit. b, rozpatrywane będą w pierwszej kolejności.</w:t>
      </w:r>
    </w:p>
    <w:p w:rsidR="00E0734F" w:rsidRDefault="00E0734F" w:rsidP="000C41F0">
      <w:pPr>
        <w:pStyle w:val="Domylnie"/>
        <w:spacing w:after="0" w:line="100" w:lineRule="atLeast"/>
        <w:jc w:val="both"/>
      </w:pPr>
      <w:r>
        <w:rPr>
          <w:rFonts w:ascii="Arial" w:hAnsi="Arial" w:cs="Arial"/>
          <w:sz w:val="21"/>
          <w:szCs w:val="21"/>
        </w:rPr>
        <w:t xml:space="preserve">3. Wnioski będą poddane weryfikacji oraz mogą podlegać sprawdzeniu w terenie. </w:t>
      </w:r>
    </w:p>
    <w:p w:rsidR="00E0734F" w:rsidRDefault="00E0734F" w:rsidP="000C41F0">
      <w:pPr>
        <w:pStyle w:val="Domylnie"/>
        <w:spacing w:after="0" w:line="100" w:lineRule="atLeast"/>
        <w:jc w:val="both"/>
        <w:rPr>
          <w:rFonts w:ascii="Arial" w:hAnsi="Arial" w:cs="Arial"/>
          <w:sz w:val="21"/>
          <w:szCs w:val="21"/>
        </w:rPr>
      </w:pPr>
      <w:r>
        <w:rPr>
          <w:rFonts w:ascii="Arial" w:hAnsi="Arial" w:cs="Arial"/>
          <w:sz w:val="21"/>
          <w:szCs w:val="21"/>
        </w:rPr>
        <w:t xml:space="preserve">4. Wnioski będą kwalifikowane do udzielenia dotacji wg kryteriów określonych w § 1 pkt 2 i 3 oraz </w:t>
      </w:r>
    </w:p>
    <w:p w:rsidR="00E0734F" w:rsidRDefault="00E0734F" w:rsidP="000C41F0">
      <w:pPr>
        <w:pStyle w:val="Domylnie"/>
        <w:spacing w:after="0" w:line="100" w:lineRule="atLeast"/>
        <w:jc w:val="both"/>
      </w:pPr>
      <w:r>
        <w:rPr>
          <w:rFonts w:ascii="Arial" w:hAnsi="Arial" w:cs="Arial"/>
          <w:sz w:val="21"/>
          <w:szCs w:val="21"/>
        </w:rPr>
        <w:t>§ 2.</w:t>
      </w:r>
    </w:p>
    <w:p w:rsidR="00E0734F" w:rsidRDefault="00E0734F" w:rsidP="000C41F0">
      <w:pPr>
        <w:pStyle w:val="Domylnie"/>
        <w:spacing w:after="0" w:line="100" w:lineRule="atLeast"/>
        <w:jc w:val="both"/>
      </w:pPr>
      <w:r>
        <w:rPr>
          <w:rFonts w:ascii="Arial" w:hAnsi="Arial" w:cs="Arial"/>
          <w:sz w:val="21"/>
          <w:szCs w:val="21"/>
        </w:rPr>
        <w:t>5. W przypadku pozytywnego zakwalifikowania wniosku do udzielenia dotacji, z wnioskodawcą zostanie podpisana umowa.</w:t>
      </w:r>
    </w:p>
    <w:p w:rsidR="00E0734F" w:rsidRDefault="00E0734F" w:rsidP="000C41F0">
      <w:pPr>
        <w:pStyle w:val="Domylnie"/>
        <w:spacing w:after="0" w:line="100" w:lineRule="atLeast"/>
        <w:jc w:val="both"/>
      </w:pPr>
      <w:r>
        <w:rPr>
          <w:rFonts w:ascii="Arial" w:hAnsi="Arial" w:cs="Arial"/>
          <w:sz w:val="21"/>
          <w:szCs w:val="21"/>
        </w:rPr>
        <w:t>6. Przed przystąpieniem do wykonywania prac związanych z usuwaniem wyrobów zwierających azbest, Wnioskodawca jest zobowiązany dokonać zgłoszenia prac lub uzyskać stosowne pozwolenie ze Starostwa Powiatowego w Działdowie, jeżeli jest wymagane zgodnie z ustawą z 07.07.1994 r. Prawo budowlane (t.j. Dz.U. 2010.243.1623, z późn.zm.).</w:t>
      </w:r>
    </w:p>
    <w:p w:rsidR="00E0734F" w:rsidRDefault="00E0734F" w:rsidP="000C41F0">
      <w:pPr>
        <w:pStyle w:val="Domylnie"/>
        <w:spacing w:after="0" w:line="100" w:lineRule="atLeast"/>
        <w:jc w:val="both"/>
      </w:pPr>
      <w:r>
        <w:rPr>
          <w:rFonts w:ascii="Arial" w:hAnsi="Arial" w:cs="Arial"/>
          <w:sz w:val="21"/>
          <w:szCs w:val="21"/>
        </w:rPr>
        <w:t>7. W przypadku, kiedy wniosek został zakwalifikowany do udzielenia dotacji, ale umowa dotacji nie została podpisana w danym roku z powodu braku środków finansowych, dotacja będzie mogła zostać przyznana w roku następnym. Wnioski, które przeszły z roku poprzedniego, będą realizowane w pierwszej kolejności, z zastrzeżeniem pkt 2.</w:t>
      </w:r>
    </w:p>
    <w:p w:rsidR="00E0734F" w:rsidRDefault="00E0734F">
      <w:pPr>
        <w:pStyle w:val="Domylnie"/>
        <w:spacing w:after="0" w:line="100" w:lineRule="atLeast"/>
        <w:ind w:firstLine="431"/>
        <w:jc w:val="both"/>
      </w:pPr>
    </w:p>
    <w:p w:rsidR="00E0734F" w:rsidRDefault="00E0734F" w:rsidP="000C41F0">
      <w:pPr>
        <w:pStyle w:val="Domylnie"/>
        <w:spacing w:after="0" w:line="100" w:lineRule="atLeast"/>
        <w:jc w:val="both"/>
      </w:pPr>
      <w:r>
        <w:rPr>
          <w:rFonts w:ascii="Arial" w:hAnsi="Arial" w:cs="Arial"/>
          <w:b/>
          <w:bCs/>
          <w:sz w:val="21"/>
          <w:szCs w:val="21"/>
        </w:rPr>
        <w:t xml:space="preserve">  § 8. </w:t>
      </w:r>
      <w:r>
        <w:rPr>
          <w:rFonts w:ascii="Arial" w:hAnsi="Arial" w:cs="Arial"/>
          <w:sz w:val="21"/>
          <w:szCs w:val="21"/>
        </w:rPr>
        <w:t>Ustala się następujący sposób rozliczania dotacji:</w:t>
      </w:r>
    </w:p>
    <w:p w:rsidR="00E0734F" w:rsidRDefault="00E0734F">
      <w:pPr>
        <w:pStyle w:val="Domylnie"/>
        <w:spacing w:after="0" w:line="100" w:lineRule="atLeast"/>
        <w:jc w:val="both"/>
      </w:pPr>
      <w:r>
        <w:rPr>
          <w:rFonts w:ascii="Arial" w:hAnsi="Arial" w:cs="Arial"/>
          <w:sz w:val="21"/>
          <w:szCs w:val="21"/>
        </w:rPr>
        <w:t xml:space="preserve">       1) Wykonawca prac związanych z usuwaniem wyrobów zawierających azbest przedkłada Gminie zestawienia imienne podmiotów, u których wykonano usunięcie wyrobów zawierających azbest wraz z ilościami wyrobów i indywidualnymi kartami przekazania odpadu. Podmiot, u którego wykonano usuniecie wyrobów zawierających azbest, potwierdza wykonanie prac stosownym oświadczeniem. </w:t>
      </w:r>
    </w:p>
    <w:p w:rsidR="00E0734F" w:rsidRDefault="00E0734F">
      <w:pPr>
        <w:pStyle w:val="Domylnie"/>
        <w:spacing w:after="0" w:line="100" w:lineRule="atLeast"/>
        <w:jc w:val="both"/>
      </w:pPr>
      <w:r>
        <w:rPr>
          <w:rFonts w:ascii="Arial" w:hAnsi="Arial" w:cs="Arial"/>
          <w:sz w:val="21"/>
          <w:szCs w:val="21"/>
        </w:rPr>
        <w:t xml:space="preserve">       2) Upoważnieni przez Burmistrza pracownicy dokonują sprawdzenia w terenie realizacji zadania. </w:t>
      </w:r>
    </w:p>
    <w:p w:rsidR="00E0734F" w:rsidRDefault="00E0734F" w:rsidP="000C41F0">
      <w:pPr>
        <w:pStyle w:val="Domylnie"/>
        <w:spacing w:before="240" w:after="0" w:line="100" w:lineRule="atLeast"/>
        <w:jc w:val="both"/>
      </w:pPr>
      <w:r>
        <w:rPr>
          <w:rFonts w:ascii="Arial" w:hAnsi="Arial" w:cs="Arial"/>
          <w:b/>
          <w:bCs/>
          <w:sz w:val="21"/>
          <w:szCs w:val="21"/>
        </w:rPr>
        <w:t xml:space="preserve">   § 9.</w:t>
      </w:r>
      <w:r>
        <w:rPr>
          <w:rFonts w:ascii="Arial" w:hAnsi="Arial" w:cs="Arial"/>
          <w:sz w:val="21"/>
          <w:szCs w:val="21"/>
        </w:rPr>
        <w:t> Wykonanie uchwały powierza się Burmistrzowi Lidzbarka.</w:t>
      </w:r>
    </w:p>
    <w:p w:rsidR="00E0734F" w:rsidRDefault="00E0734F" w:rsidP="000C41F0">
      <w:pPr>
        <w:pStyle w:val="Domylnie"/>
        <w:spacing w:before="240" w:after="0" w:line="100" w:lineRule="atLeast"/>
        <w:jc w:val="both"/>
      </w:pPr>
      <w:r>
        <w:rPr>
          <w:rFonts w:ascii="Arial" w:hAnsi="Arial" w:cs="Arial"/>
          <w:b/>
          <w:bCs/>
          <w:sz w:val="21"/>
          <w:szCs w:val="21"/>
        </w:rPr>
        <w:t xml:space="preserve">   § 10.</w:t>
      </w:r>
      <w:r>
        <w:rPr>
          <w:rFonts w:ascii="Arial" w:hAnsi="Arial" w:cs="Arial"/>
          <w:sz w:val="21"/>
          <w:szCs w:val="21"/>
        </w:rPr>
        <w:t> Uchwała wchodzi w życie po upływie 14 dni od dnia opublikowania w Dzienniku Urzędowym Województwa Warmińsko-Mazurskiego.</w:t>
      </w:r>
    </w:p>
    <w:p w:rsidR="00E0734F" w:rsidRDefault="00E0734F">
      <w:pPr>
        <w:pStyle w:val="Domylnie"/>
        <w:spacing w:after="0" w:line="100" w:lineRule="atLeast"/>
      </w:pPr>
    </w:p>
    <w:p w:rsidR="00E0734F" w:rsidRDefault="00E0734F">
      <w:pPr>
        <w:pStyle w:val="Domylnie"/>
        <w:spacing w:after="0" w:line="100" w:lineRule="atLeast"/>
      </w:pPr>
    </w:p>
    <w:p w:rsidR="00E0734F" w:rsidRDefault="00E0734F">
      <w:pPr>
        <w:pStyle w:val="Domylnie"/>
        <w:spacing w:after="0" w:line="100" w:lineRule="atLeast"/>
        <w:rPr>
          <w:rFonts w:ascii="Arial" w:hAnsi="Arial" w:cs="Arial"/>
          <w:sz w:val="21"/>
          <w:szCs w:val="21"/>
        </w:rPr>
      </w:pPr>
      <w:r>
        <w:tab/>
      </w:r>
      <w:r>
        <w:tab/>
      </w:r>
      <w:r>
        <w:tab/>
      </w:r>
      <w:r>
        <w:tab/>
      </w:r>
      <w:r>
        <w:tab/>
      </w:r>
      <w:r>
        <w:tab/>
      </w:r>
      <w:r>
        <w:tab/>
      </w:r>
      <w:r>
        <w:tab/>
      </w:r>
      <w:r w:rsidRPr="000C41F0">
        <w:rPr>
          <w:rFonts w:ascii="Arial" w:hAnsi="Arial" w:cs="Arial"/>
          <w:sz w:val="21"/>
          <w:szCs w:val="21"/>
        </w:rPr>
        <w:t>Przewodniczący Rady Miejskiej</w:t>
      </w:r>
    </w:p>
    <w:p w:rsidR="00E0734F" w:rsidRDefault="00E0734F">
      <w:pPr>
        <w:pStyle w:val="Domylnie"/>
        <w:spacing w:after="0" w:line="100" w:lineRule="atLeast"/>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E0734F" w:rsidRPr="000C41F0" w:rsidRDefault="00E0734F">
      <w:pPr>
        <w:pStyle w:val="Domylnie"/>
        <w:spacing w:after="0" w:line="100" w:lineRule="atLeast"/>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Tomasz Dudaniec</w:t>
      </w:r>
    </w:p>
    <w:p w:rsidR="00E0734F" w:rsidRDefault="00E0734F">
      <w:pPr>
        <w:pStyle w:val="Domylnie"/>
      </w:pPr>
    </w:p>
    <w:sectPr w:rsidR="00E0734F" w:rsidSect="00AE4E38">
      <w:pgSz w:w="12240" w:h="15840"/>
      <w:pgMar w:top="1417" w:right="1417" w:bottom="1417" w:left="1417" w:header="708" w:footer="708" w:gutter="0"/>
      <w:cols w:space="708"/>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E38"/>
    <w:rsid w:val="000C41F0"/>
    <w:rsid w:val="00530487"/>
    <w:rsid w:val="00571813"/>
    <w:rsid w:val="00AE4E38"/>
    <w:rsid w:val="00B43148"/>
    <w:rsid w:val="00BA175C"/>
    <w:rsid w:val="00BB58FB"/>
    <w:rsid w:val="00C223A5"/>
    <w:rsid w:val="00E0734F"/>
    <w:rsid w:val="00FF1FE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5C"/>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uiPriority w:val="99"/>
    <w:rsid w:val="00AE4E38"/>
    <w:pPr>
      <w:tabs>
        <w:tab w:val="left" w:pos="709"/>
      </w:tabs>
      <w:suppressAutoHyphens/>
      <w:spacing w:after="200" w:line="276" w:lineRule="atLeast"/>
    </w:pPr>
    <w:rPr>
      <w:rFonts w:cs="Calibri"/>
      <w:lang w:eastAsia="en-US"/>
    </w:rPr>
  </w:style>
  <w:style w:type="paragraph" w:styleId="Header">
    <w:name w:val="header"/>
    <w:basedOn w:val="Domylnie"/>
    <w:next w:val="Tretekstu"/>
    <w:link w:val="HeaderChar"/>
    <w:uiPriority w:val="99"/>
    <w:rsid w:val="00AE4E38"/>
    <w:pPr>
      <w:keepNext/>
      <w:spacing w:before="240" w:after="120"/>
    </w:pPr>
    <w:rPr>
      <w:rFonts w:ascii="Arial" w:hAnsi="Arial" w:cs="Arial"/>
      <w:sz w:val="28"/>
      <w:szCs w:val="28"/>
    </w:rPr>
  </w:style>
  <w:style w:type="character" w:customStyle="1" w:styleId="HeaderChar">
    <w:name w:val="Header Char"/>
    <w:basedOn w:val="DefaultParagraphFont"/>
    <w:link w:val="Header"/>
    <w:uiPriority w:val="99"/>
    <w:semiHidden/>
    <w:locked/>
  </w:style>
  <w:style w:type="paragraph" w:customStyle="1" w:styleId="Tretekstu">
    <w:name w:val="Treść tekstu"/>
    <w:basedOn w:val="Domylnie"/>
    <w:uiPriority w:val="99"/>
    <w:rsid w:val="00AE4E38"/>
    <w:pPr>
      <w:spacing w:after="120"/>
    </w:pPr>
  </w:style>
  <w:style w:type="paragraph" w:styleId="List">
    <w:name w:val="List"/>
    <w:basedOn w:val="Tretekstu"/>
    <w:uiPriority w:val="99"/>
    <w:rsid w:val="00AE4E38"/>
  </w:style>
  <w:style w:type="paragraph" w:styleId="Signature">
    <w:name w:val="Signature"/>
    <w:basedOn w:val="Domylnie"/>
    <w:link w:val="SignatureChar"/>
    <w:uiPriority w:val="99"/>
    <w:rsid w:val="00AE4E38"/>
    <w:pPr>
      <w:suppressLineNumbers/>
      <w:spacing w:before="120" w:after="120"/>
    </w:pPr>
    <w:rPr>
      <w:i/>
      <w:iCs/>
      <w:sz w:val="24"/>
      <w:szCs w:val="24"/>
    </w:rPr>
  </w:style>
  <w:style w:type="character" w:customStyle="1" w:styleId="SignatureChar">
    <w:name w:val="Signature Char"/>
    <w:basedOn w:val="DefaultParagraphFont"/>
    <w:link w:val="Signature"/>
    <w:uiPriority w:val="99"/>
    <w:semiHidden/>
    <w:locked/>
  </w:style>
  <w:style w:type="paragraph" w:customStyle="1" w:styleId="Indeks">
    <w:name w:val="Indeks"/>
    <w:basedOn w:val="Domylnie"/>
    <w:uiPriority w:val="99"/>
    <w:rsid w:val="00AE4E38"/>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225</TotalTime>
  <Pages>3</Pages>
  <Words>1461</Words>
  <Characters>8770</Characters>
  <Application>Microsoft Office Outlook</Application>
  <DocSecurity>0</DocSecurity>
  <Lines>0</Lines>
  <Paragraphs>0</Paragraphs>
  <ScaleCrop>false</ScaleCrop>
  <Company>Urząd Miasta i Gminy w Lidzbarku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urzad</cp:lastModifiedBy>
  <cp:revision>8</cp:revision>
  <cp:lastPrinted>2011-08-30T08:12:00Z</cp:lastPrinted>
  <dcterms:created xsi:type="dcterms:W3CDTF">2011-08-22T12:51:00Z</dcterms:created>
  <dcterms:modified xsi:type="dcterms:W3CDTF">2011-08-30T08:22:00Z</dcterms:modified>
</cp:coreProperties>
</file>